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5DD7" w14:textId="69D378D5" w:rsidR="00C315BA" w:rsidRDefault="00C315BA" w:rsidP="00753050"/>
    <w:p w14:paraId="70CF79FD" w14:textId="6287CD5A" w:rsidR="008C77E6" w:rsidRDefault="008C77E6" w:rsidP="00753050"/>
    <w:p w14:paraId="72B3DB4B" w14:textId="77777777" w:rsidR="008C77E6" w:rsidRPr="00FF1318" w:rsidRDefault="008C77E6" w:rsidP="008C77E6">
      <w:pPr>
        <w:jc w:val="center"/>
        <w:rPr>
          <w:b/>
          <w:color w:val="2F5496"/>
          <w:sz w:val="28"/>
          <w:szCs w:val="28"/>
        </w:rPr>
      </w:pPr>
      <w:r w:rsidRPr="00FF1318">
        <w:rPr>
          <w:b/>
          <w:color w:val="2F5496"/>
          <w:sz w:val="28"/>
          <w:szCs w:val="28"/>
        </w:rPr>
        <w:t>INTÉZMÉNYI TÁJÉKOZTATÓ</w:t>
      </w:r>
    </w:p>
    <w:p w14:paraId="78F0D2E4" w14:textId="77777777" w:rsidR="008C77E6" w:rsidRDefault="008C77E6" w:rsidP="008C77E6">
      <w:pPr>
        <w:jc w:val="both"/>
        <w:rPr>
          <w:sz w:val="16"/>
          <w:szCs w:val="16"/>
        </w:rPr>
      </w:pPr>
    </w:p>
    <w:p w14:paraId="49D75E67" w14:textId="77777777" w:rsidR="008C77E6" w:rsidRPr="009A158B" w:rsidRDefault="008C77E6" w:rsidP="008C77E6">
      <w:pPr>
        <w:spacing w:line="276" w:lineRule="auto"/>
        <w:jc w:val="both"/>
      </w:pPr>
      <w:r w:rsidRPr="009A158B">
        <w:t xml:space="preserve">Kazincbarcikán, a Jószerencsét út 8. sz. alatt, a városközpontban található a városi önkormányzat által fenntartott, a Kazincbarcikai Szociális Szolgáltató Központ által működtetett </w:t>
      </w:r>
    </w:p>
    <w:p w14:paraId="664D6CB5" w14:textId="77777777" w:rsidR="008C77E6" w:rsidRDefault="008C77E6" w:rsidP="008C77E6">
      <w:pPr>
        <w:numPr>
          <w:ilvl w:val="0"/>
          <w:numId w:val="2"/>
        </w:numPr>
        <w:spacing w:line="276" w:lineRule="auto"/>
        <w:jc w:val="center"/>
        <w:rPr>
          <w:b/>
          <w:i/>
          <w:iCs/>
          <w:color w:val="C45911"/>
          <w:sz w:val="28"/>
          <w:szCs w:val="28"/>
        </w:rPr>
      </w:pPr>
      <w:r w:rsidRPr="00A966DA">
        <w:rPr>
          <w:b/>
          <w:i/>
          <w:iCs/>
          <w:color w:val="C45911"/>
          <w:sz w:val="28"/>
          <w:szCs w:val="28"/>
        </w:rPr>
        <w:t xml:space="preserve">Számú Idősek Otthona </w:t>
      </w:r>
    </w:p>
    <w:p w14:paraId="43504D0C" w14:textId="77777777" w:rsidR="008C77E6" w:rsidRPr="00A966DA" w:rsidRDefault="008C77E6" w:rsidP="008C77E6">
      <w:pPr>
        <w:spacing w:line="276" w:lineRule="auto"/>
        <w:ind w:left="1080"/>
        <w:rPr>
          <w:b/>
          <w:i/>
          <w:iCs/>
          <w:color w:val="C45911"/>
          <w:sz w:val="28"/>
          <w:szCs w:val="28"/>
        </w:rPr>
      </w:pPr>
    </w:p>
    <w:p w14:paraId="7AA89169" w14:textId="77777777" w:rsidR="008C77E6" w:rsidRPr="009A158B" w:rsidRDefault="008C77E6" w:rsidP="008C77E6">
      <w:pPr>
        <w:spacing w:line="276" w:lineRule="auto"/>
        <w:jc w:val="both"/>
      </w:pPr>
      <w:r w:rsidRPr="009A158B">
        <w:t xml:space="preserve">Ez az intézmény 2001 óta áll a lakosság szolgálatában. A szép környezet, az épületet körülvevő igényes pihenőpark kellemes kikapcsolódást nyújt az itt élőknek és a látogatóiknak egyaránt. </w:t>
      </w:r>
    </w:p>
    <w:p w14:paraId="2FDF50FF" w14:textId="77777777" w:rsidR="008C77E6" w:rsidRPr="009A158B" w:rsidRDefault="008C77E6" w:rsidP="008C77E6">
      <w:pPr>
        <w:spacing w:line="276" w:lineRule="auto"/>
        <w:jc w:val="both"/>
      </w:pPr>
      <w:r w:rsidRPr="009A158B">
        <w:t xml:space="preserve">A 48 férőhelyes intézményben, 24 </w:t>
      </w:r>
      <w:r w:rsidRPr="009A158B">
        <w:rPr>
          <w:i/>
        </w:rPr>
        <w:t>- otthonosan berendezett, 2 ágyas, teakonyhával, fürdővel, WC-vel ellátott –</w:t>
      </w:r>
      <w:r w:rsidRPr="009A158B">
        <w:t xml:space="preserve"> lakórészben színvonalas körülmények között, életük végéig tartó ellátásban, szükség esetén ápolásban részesülnek az ellátottak. A szobák házaspárok elhelyezésére is kiválóan alkalmasak. A nap 24 órájában folyamatos gondozói-szakápolói felügyeletet és rendszeres orvosi ellátást biztosítunk. Személyenként postaláda, ágyanként jelzőcsengő és telefon áll a lakók rendelkezésére. </w:t>
      </w:r>
    </w:p>
    <w:p w14:paraId="25331730" w14:textId="77777777" w:rsidR="008C77E6" w:rsidRPr="009A158B" w:rsidRDefault="008C77E6" w:rsidP="008C77E6">
      <w:pPr>
        <w:spacing w:line="276" w:lineRule="auto"/>
        <w:jc w:val="both"/>
      </w:pPr>
      <w:r w:rsidRPr="009A158B">
        <w:t>Az intézmény az ellátást igénybevevők részére az adott körülmények figyelembevételével, előzetes megbeszélés alapján lehetőséget biztosít saját tulajdonú használati tárgyak behozatalára. Igény szerint kábeltelevízió, internet hozzáférhetőség vehető igénybe. Az intézmény a közösségi életre, a családias légkör biztosítására igen nagy hangsúlyt fektet. A kor elvárásainak megfelelő minőségű életmód alapjait teremti meg, biztosítva emellett az önállóság megtartását is.</w:t>
      </w:r>
    </w:p>
    <w:p w14:paraId="340D4A08" w14:textId="77777777" w:rsidR="008C77E6" w:rsidRPr="009A158B" w:rsidRDefault="008C77E6" w:rsidP="008C77E6">
      <w:pPr>
        <w:spacing w:line="276" w:lineRule="auto"/>
        <w:jc w:val="both"/>
        <w:rPr>
          <w:b/>
          <w:bCs/>
          <w:iCs/>
        </w:rPr>
      </w:pPr>
    </w:p>
    <w:p w14:paraId="7CDDD438" w14:textId="77777777" w:rsidR="008C77E6" w:rsidRDefault="008C77E6" w:rsidP="008C77E6">
      <w:pPr>
        <w:spacing w:line="276" w:lineRule="auto"/>
        <w:jc w:val="both"/>
        <w:rPr>
          <w:b/>
          <w:bCs/>
          <w:iCs/>
          <w:u w:val="single"/>
        </w:rPr>
      </w:pPr>
      <w:bookmarkStart w:id="0" w:name="pr1464"/>
      <w:bookmarkStart w:id="1" w:name="pr1465"/>
      <w:bookmarkEnd w:id="0"/>
      <w:bookmarkEnd w:id="1"/>
      <w:r w:rsidRPr="009A158B">
        <w:rPr>
          <w:b/>
          <w:bCs/>
          <w:iCs/>
          <w:u w:val="single"/>
        </w:rPr>
        <w:t xml:space="preserve">A bekerülés feltételei: </w:t>
      </w:r>
    </w:p>
    <w:p w14:paraId="652354D7" w14:textId="77777777" w:rsidR="008C77E6" w:rsidRPr="009A158B" w:rsidRDefault="008C77E6" w:rsidP="008C77E6">
      <w:pPr>
        <w:spacing w:line="276" w:lineRule="auto"/>
        <w:jc w:val="both"/>
        <w:rPr>
          <w:b/>
          <w:bCs/>
          <w:iCs/>
          <w:u w:val="single"/>
        </w:rPr>
      </w:pPr>
    </w:p>
    <w:p w14:paraId="177A968C" w14:textId="77777777" w:rsidR="008C77E6" w:rsidRPr="009A158B" w:rsidRDefault="008C77E6" w:rsidP="008C77E6">
      <w:pPr>
        <w:numPr>
          <w:ilvl w:val="0"/>
          <w:numId w:val="1"/>
        </w:numPr>
        <w:spacing w:line="276" w:lineRule="auto"/>
        <w:jc w:val="both"/>
        <w:rPr>
          <w:bCs/>
          <w:iCs/>
        </w:rPr>
      </w:pPr>
      <w:r w:rsidRPr="009A158B">
        <w:rPr>
          <w:bCs/>
          <w:iCs/>
        </w:rPr>
        <w:t>Kazincbarcikai illetőség</w:t>
      </w:r>
    </w:p>
    <w:p w14:paraId="54EE358D" w14:textId="77777777" w:rsidR="008C77E6" w:rsidRPr="009A158B" w:rsidRDefault="008C77E6" w:rsidP="008C77E6">
      <w:pPr>
        <w:numPr>
          <w:ilvl w:val="0"/>
          <w:numId w:val="1"/>
        </w:numPr>
        <w:spacing w:line="276" w:lineRule="auto"/>
        <w:jc w:val="both"/>
        <w:rPr>
          <w:bCs/>
          <w:iCs/>
        </w:rPr>
      </w:pPr>
      <w:r w:rsidRPr="009A158B">
        <w:rPr>
          <w:bCs/>
          <w:iCs/>
        </w:rPr>
        <w:t xml:space="preserve">Szóban vagy írásban beadott kérelem </w:t>
      </w:r>
    </w:p>
    <w:p w14:paraId="51894102" w14:textId="77777777" w:rsidR="008C77E6" w:rsidRPr="009A158B" w:rsidRDefault="008C77E6" w:rsidP="008C77E6">
      <w:pPr>
        <w:numPr>
          <w:ilvl w:val="0"/>
          <w:numId w:val="1"/>
        </w:numPr>
        <w:spacing w:line="276" w:lineRule="auto"/>
        <w:jc w:val="both"/>
        <w:rPr>
          <w:bCs/>
          <w:iCs/>
        </w:rPr>
      </w:pPr>
      <w:r w:rsidRPr="009A158B">
        <w:rPr>
          <w:bCs/>
          <w:iCs/>
        </w:rPr>
        <w:t>Személyi adatokat igazoló dokumentumok: személyi igazolvány, lakcím- és TAJ kártya, közgyógyigazolvány (ha van)</w:t>
      </w:r>
    </w:p>
    <w:p w14:paraId="198FBAF4" w14:textId="77777777" w:rsidR="008C77E6" w:rsidRPr="009A158B" w:rsidRDefault="008C77E6" w:rsidP="008C77E6">
      <w:pPr>
        <w:numPr>
          <w:ilvl w:val="0"/>
          <w:numId w:val="1"/>
        </w:numPr>
        <w:spacing w:line="276" w:lineRule="auto"/>
        <w:jc w:val="both"/>
        <w:rPr>
          <w:bCs/>
          <w:iCs/>
        </w:rPr>
      </w:pPr>
      <w:r w:rsidRPr="009A158B">
        <w:rPr>
          <w:bCs/>
          <w:iCs/>
        </w:rPr>
        <w:t>Orvosi javaslat, 1 évnél nem régebbi tüdőszűrő lelet, betegségeket igazoló zárójelentések fénymásolata</w:t>
      </w:r>
    </w:p>
    <w:p w14:paraId="3A03D239" w14:textId="77777777" w:rsidR="008C77E6" w:rsidRPr="009A158B" w:rsidRDefault="008C77E6" w:rsidP="008C77E6">
      <w:pPr>
        <w:numPr>
          <w:ilvl w:val="0"/>
          <w:numId w:val="1"/>
        </w:numPr>
        <w:spacing w:line="276" w:lineRule="auto"/>
        <w:jc w:val="both"/>
        <w:rPr>
          <w:bCs/>
          <w:iCs/>
        </w:rPr>
      </w:pPr>
      <w:r w:rsidRPr="009A158B">
        <w:rPr>
          <w:bCs/>
          <w:iCs/>
        </w:rPr>
        <w:t>Orvosi igazolás-fertőző betegségben nem szenved (beköltözés alkalmával)</w:t>
      </w:r>
    </w:p>
    <w:p w14:paraId="3FA4954C" w14:textId="77777777" w:rsidR="008C77E6" w:rsidRPr="009A158B" w:rsidRDefault="008C77E6" w:rsidP="008C77E6">
      <w:pPr>
        <w:numPr>
          <w:ilvl w:val="0"/>
          <w:numId w:val="1"/>
        </w:numPr>
        <w:spacing w:line="276" w:lineRule="auto"/>
        <w:jc w:val="both"/>
      </w:pPr>
      <w:r w:rsidRPr="009A158B">
        <w:t>Cselekvőképességet kizáró, illetve korlátozó gondnokság esetén a bírósági határozatot, (Ideiglenes gondnokság esetén a gyámhivatal beleegyező határozata szükséges.)</w:t>
      </w:r>
    </w:p>
    <w:p w14:paraId="28004E1E" w14:textId="77777777" w:rsidR="008C77E6" w:rsidRPr="009A158B" w:rsidRDefault="008C77E6" w:rsidP="008C77E6">
      <w:pPr>
        <w:numPr>
          <w:ilvl w:val="0"/>
          <w:numId w:val="1"/>
        </w:numPr>
        <w:spacing w:line="276" w:lineRule="auto"/>
        <w:jc w:val="both"/>
        <w:rPr>
          <w:bCs/>
          <w:iCs/>
        </w:rPr>
      </w:pPr>
      <w:r w:rsidRPr="009A158B">
        <w:rPr>
          <w:bCs/>
          <w:iCs/>
        </w:rPr>
        <w:t>Jövedelem nyilatkozat, szükség esetén vagyonnyilatkozat</w:t>
      </w:r>
    </w:p>
    <w:p w14:paraId="2EC18FA5" w14:textId="77777777" w:rsidR="008C77E6" w:rsidRPr="009A158B" w:rsidRDefault="008C77E6" w:rsidP="008C77E6">
      <w:pPr>
        <w:numPr>
          <w:ilvl w:val="0"/>
          <w:numId w:val="1"/>
        </w:numPr>
        <w:spacing w:line="276" w:lineRule="auto"/>
        <w:jc w:val="both"/>
        <w:rPr>
          <w:bCs/>
          <w:iCs/>
        </w:rPr>
      </w:pPr>
      <w:r w:rsidRPr="009A158B">
        <w:rPr>
          <w:bCs/>
          <w:iCs/>
        </w:rPr>
        <w:t>Éves nyugdíjas összesítő és az utolsó havi nyugdíjas szelvény, vagy bankszámla kivonat</w:t>
      </w:r>
    </w:p>
    <w:p w14:paraId="7D900711" w14:textId="4E0956F7" w:rsidR="008C77E6" w:rsidRDefault="008C77E6" w:rsidP="008C77E6">
      <w:pPr>
        <w:numPr>
          <w:ilvl w:val="0"/>
          <w:numId w:val="1"/>
        </w:numPr>
        <w:spacing w:line="276" w:lineRule="auto"/>
        <w:jc w:val="both"/>
        <w:rPr>
          <w:bCs/>
          <w:iCs/>
        </w:rPr>
        <w:sectPr w:rsidR="008C77E6">
          <w:headerReference w:type="default" r:id="rId7"/>
          <w:pgSz w:w="11906" w:h="16838"/>
          <w:pgMar w:top="1417" w:right="1417" w:bottom="1417" w:left="1417" w:header="708" w:footer="708" w:gutter="0"/>
          <w:cols w:space="708"/>
          <w:docGrid w:linePitch="360"/>
        </w:sectPr>
      </w:pPr>
      <w:r w:rsidRPr="009A158B">
        <w:rPr>
          <w:bCs/>
          <w:iCs/>
        </w:rPr>
        <w:t>Gondozási szükséglet vizsgálat</w:t>
      </w:r>
    </w:p>
    <w:p w14:paraId="52B07000" w14:textId="77777777" w:rsidR="008C77E6" w:rsidRPr="009A158B" w:rsidRDefault="008C77E6" w:rsidP="008C77E6">
      <w:pPr>
        <w:jc w:val="both"/>
        <w:rPr>
          <w:bCs/>
          <w:iCs/>
        </w:rPr>
      </w:pPr>
    </w:p>
    <w:p w14:paraId="55C59FA4" w14:textId="77777777" w:rsidR="008C77E6" w:rsidRPr="009A158B" w:rsidRDefault="008C77E6" w:rsidP="008C77E6">
      <w:pPr>
        <w:jc w:val="both"/>
        <w:rPr>
          <w:bCs/>
          <w:iCs/>
        </w:rPr>
      </w:pPr>
    </w:p>
    <w:p w14:paraId="0EDDEC03" w14:textId="196C107D" w:rsidR="008C77E6" w:rsidRDefault="008C77E6" w:rsidP="008C77E6">
      <w:pPr>
        <w:spacing w:line="276" w:lineRule="auto"/>
        <w:jc w:val="both"/>
        <w:rPr>
          <w:rFonts w:ascii="Times" w:hAnsi="Times"/>
          <w:color w:val="000000"/>
        </w:rPr>
      </w:pPr>
      <w:bookmarkStart w:id="2" w:name="pr44"/>
      <w:bookmarkEnd w:id="2"/>
      <w:r w:rsidRPr="009A158B">
        <w:rPr>
          <w:iCs/>
        </w:rPr>
        <w:t xml:space="preserve">A férőhely elfoglalása külön értesítés után történhet, legalább 9 napos időtartamon belül. Amennyiben a jogosult a megadott időn belül </w:t>
      </w:r>
      <w:r w:rsidRPr="009A158B">
        <w:rPr>
          <w:color w:val="222222"/>
        </w:rPr>
        <w:t>nem költözik be, és ennek okáról az intézmény vezetőjét nem értesíti, az intézmény vezetője megkeresi a jogosult lakóhelye (tartózkodási helye) szerint illetékes jegyzőt tájékoztatás kérése céljából. Az ellátás személyes megjelenés útján vehető igénybe. Az ellátás megkezdése előtt az intézményvezető és az ellátást igénylő, illetve törvényes képviselője megállapodást köt.</w:t>
      </w:r>
      <w:r w:rsidRPr="009A158B">
        <w:rPr>
          <w:bCs/>
          <w:iCs/>
        </w:rPr>
        <w:t xml:space="preserve"> Beköltözés előtt az intézmény részletes tájékoztatást nyújt a megállapodás és a házirend </w:t>
      </w:r>
      <w:r w:rsidRPr="009A158B">
        <w:rPr>
          <w:rFonts w:ascii="Times" w:hAnsi="Times"/>
          <w:color w:val="000000"/>
        </w:rPr>
        <w:t>tartalmáról</w:t>
      </w:r>
      <w:r>
        <w:rPr>
          <w:rFonts w:ascii="Times" w:hAnsi="Times"/>
          <w:color w:val="000000"/>
        </w:rPr>
        <w:t>.</w:t>
      </w:r>
    </w:p>
    <w:p w14:paraId="61C141E2" w14:textId="77777777" w:rsidR="008C77E6" w:rsidRDefault="008C77E6" w:rsidP="008C77E6">
      <w:pPr>
        <w:spacing w:line="276" w:lineRule="auto"/>
        <w:jc w:val="both"/>
        <w:rPr>
          <w:rFonts w:ascii="Times" w:hAnsi="Times"/>
          <w:color w:val="000000"/>
        </w:rPr>
      </w:pPr>
    </w:p>
    <w:p w14:paraId="6E2497F0" w14:textId="77777777" w:rsidR="008C77E6" w:rsidRPr="008C77E6" w:rsidRDefault="008C77E6" w:rsidP="008C77E6">
      <w:pPr>
        <w:spacing w:line="276" w:lineRule="auto"/>
        <w:jc w:val="both"/>
        <w:rPr>
          <w:b/>
          <w:i/>
          <w:iCs/>
          <w:u w:val="single"/>
        </w:rPr>
      </w:pPr>
      <w:r w:rsidRPr="008C77E6">
        <w:rPr>
          <w:b/>
          <w:i/>
          <w:iCs/>
          <w:u w:val="single"/>
        </w:rPr>
        <w:t>Az intézményi térítési díj 2023. 04. 01.-jétől: 6.500,-Ft / NAP</w:t>
      </w:r>
    </w:p>
    <w:p w14:paraId="0CE5CBA6" w14:textId="77777777" w:rsidR="008C77E6" w:rsidRPr="008C77E6" w:rsidRDefault="008C77E6" w:rsidP="008C77E6">
      <w:pPr>
        <w:spacing w:line="276" w:lineRule="auto"/>
        <w:jc w:val="both"/>
        <w:rPr>
          <w:b/>
          <w:i/>
          <w:iCs/>
          <w:u w:val="single"/>
        </w:rPr>
      </w:pPr>
    </w:p>
    <w:p w14:paraId="66C263B6" w14:textId="77777777" w:rsidR="008C77E6" w:rsidRPr="008C77E6" w:rsidRDefault="008C77E6" w:rsidP="008C77E6">
      <w:pPr>
        <w:spacing w:line="276" w:lineRule="auto"/>
        <w:jc w:val="both"/>
        <w:rPr>
          <w:i/>
        </w:rPr>
      </w:pPr>
      <w:r w:rsidRPr="008C77E6">
        <w:rPr>
          <w:i/>
        </w:rPr>
        <w:t>(Összegét a fenntartó önkormányzat évente két alkalommal felülvizsgálhatja.) Az ellátást igénylő vagy a térítési díjat megfizető más személy, írásban vállalhatja a mindenkori intézményi térítési díjjal azonos személyi térítési díj megfizetését. Egyéb esetben az ellátott által fizetendő személyi térítési díj összege nem haladhatja meg a rendszeres jövedelmének a 80%-át.</w:t>
      </w:r>
    </w:p>
    <w:p w14:paraId="4A78371A" w14:textId="77777777" w:rsidR="008C77E6" w:rsidRPr="008C77E6" w:rsidRDefault="008C77E6" w:rsidP="008C77E6">
      <w:pPr>
        <w:spacing w:line="276" w:lineRule="auto"/>
        <w:jc w:val="both"/>
        <w:rPr>
          <w:i/>
        </w:rPr>
      </w:pPr>
    </w:p>
    <w:p w14:paraId="00E6AF33" w14:textId="77777777" w:rsidR="008C77E6" w:rsidRPr="008C77E6" w:rsidRDefault="008C77E6" w:rsidP="008C77E6">
      <w:pPr>
        <w:spacing w:line="276" w:lineRule="auto"/>
        <w:jc w:val="both"/>
        <w:rPr>
          <w:b/>
          <w:bCs/>
          <w:i/>
          <w:u w:val="single"/>
        </w:rPr>
      </w:pPr>
      <w:r w:rsidRPr="008C77E6">
        <w:rPr>
          <w:b/>
          <w:bCs/>
          <w:i/>
          <w:u w:val="single"/>
        </w:rPr>
        <w:t>Belépési hozzájárulás megfizetése 2023.04.01-jétől:</w:t>
      </w:r>
    </w:p>
    <w:p w14:paraId="2CDBE755" w14:textId="77777777" w:rsidR="008C77E6" w:rsidRPr="008C77E6" w:rsidRDefault="008C77E6" w:rsidP="008C77E6">
      <w:pPr>
        <w:spacing w:line="276" w:lineRule="auto"/>
        <w:jc w:val="both"/>
        <w:rPr>
          <w:i/>
        </w:rPr>
      </w:pPr>
    </w:p>
    <w:p w14:paraId="0B467D60" w14:textId="77777777" w:rsidR="008C77E6" w:rsidRPr="008C77E6" w:rsidRDefault="008C77E6" w:rsidP="008C77E6">
      <w:pPr>
        <w:spacing w:line="276" w:lineRule="auto"/>
        <w:jc w:val="both"/>
        <w:rPr>
          <w:i/>
        </w:rPr>
      </w:pPr>
      <w:r w:rsidRPr="008C77E6">
        <w:rPr>
          <w:i/>
        </w:rPr>
        <w:t>Az intézménybe való felvétel feltétele egyszeri belépési hozzájárulás megfizetése, a Fenntartó által a 38/2021. (XII.16.) Önkormányzati határozatban foglaltaknak megfelelően, melynek összege: 1.000.000,-Ft/Fő, azaz egymillió forint/Fő. A belépési hozzájárulást az ellátást igénylő vagy a belépési hozzájárulás megfizetését vállaló személy fizeti meg. Amennyiben a gondozás az intézménybe történő beköltözést követő három éven belül megszűnik, a belépési hozzájárulás arányos részét vissza kell fizetni az ellátottnak vagy örökösnek, illetve – ha a belépési hozzájárulás megfizetését más személy vállalta – e személynek vagy örökösnek.</w:t>
      </w:r>
    </w:p>
    <w:p w14:paraId="2A449485" w14:textId="77777777" w:rsidR="008C77E6" w:rsidRPr="008C77E6" w:rsidRDefault="008C77E6" w:rsidP="008C77E6">
      <w:pPr>
        <w:spacing w:line="276" w:lineRule="auto"/>
        <w:jc w:val="both"/>
        <w:rPr>
          <w:i/>
        </w:rPr>
      </w:pPr>
    </w:p>
    <w:p w14:paraId="24027CD6" w14:textId="77777777" w:rsidR="008C77E6" w:rsidRPr="008C77E6" w:rsidRDefault="008C77E6" w:rsidP="008C77E6">
      <w:pPr>
        <w:spacing w:line="276" w:lineRule="auto"/>
        <w:jc w:val="both"/>
        <w:rPr>
          <w:b/>
          <w:bCs/>
          <w:iCs/>
          <w:u w:val="single"/>
        </w:rPr>
      </w:pPr>
      <w:r w:rsidRPr="008C77E6">
        <w:rPr>
          <w:b/>
          <w:bCs/>
          <w:iCs/>
          <w:u w:val="single"/>
        </w:rPr>
        <w:t>Érték-, vagyon megőrzés:</w:t>
      </w:r>
    </w:p>
    <w:p w14:paraId="0E7BD6A7" w14:textId="77777777" w:rsidR="008C77E6" w:rsidRPr="008C77E6" w:rsidRDefault="008C77E6" w:rsidP="008C77E6">
      <w:pPr>
        <w:spacing w:line="276" w:lineRule="auto"/>
        <w:jc w:val="both"/>
        <w:rPr>
          <w:b/>
          <w:bCs/>
          <w:iCs/>
          <w:u w:val="single"/>
        </w:rPr>
      </w:pPr>
    </w:p>
    <w:p w14:paraId="3FE689A4" w14:textId="77777777" w:rsidR="008C77E6" w:rsidRPr="008C77E6" w:rsidRDefault="008C77E6" w:rsidP="008C77E6">
      <w:pPr>
        <w:spacing w:line="276" w:lineRule="auto"/>
        <w:jc w:val="both"/>
        <w:rPr>
          <w:bCs/>
          <w:iCs/>
        </w:rPr>
      </w:pPr>
      <w:r w:rsidRPr="008C77E6">
        <w:rPr>
          <w:bCs/>
          <w:iCs/>
        </w:rPr>
        <w:t xml:space="preserve">Lakóinknak lehetőségük van értékeik leadására megőrzés céljából. </w:t>
      </w:r>
    </w:p>
    <w:p w14:paraId="0A3B26EB" w14:textId="77777777" w:rsidR="008C77E6" w:rsidRPr="008C77E6" w:rsidRDefault="008C77E6" w:rsidP="008C77E6">
      <w:pPr>
        <w:spacing w:line="276" w:lineRule="auto"/>
        <w:jc w:val="both"/>
        <w:rPr>
          <w:b/>
          <w:bCs/>
          <w:iCs/>
        </w:rPr>
      </w:pPr>
      <w:r w:rsidRPr="008C77E6">
        <w:rPr>
          <w:b/>
          <w:bCs/>
          <w:iCs/>
        </w:rPr>
        <w:t>A megőrzésre át nem adott értékekért az intézmény felelősséget nem vállal, azok elvesztése esetén az intézménnyel szemben kárigény nem érvényesíthető!</w:t>
      </w:r>
    </w:p>
    <w:p w14:paraId="1A50C85C" w14:textId="77777777" w:rsidR="008C77E6" w:rsidRPr="008C77E6" w:rsidRDefault="008C77E6" w:rsidP="008C77E6">
      <w:pPr>
        <w:spacing w:line="276" w:lineRule="auto"/>
        <w:jc w:val="both"/>
        <w:rPr>
          <w:b/>
          <w:bCs/>
          <w:iCs/>
        </w:rPr>
      </w:pPr>
    </w:p>
    <w:p w14:paraId="282333BC" w14:textId="77777777" w:rsidR="008C77E6" w:rsidRPr="008C77E6" w:rsidRDefault="008C77E6" w:rsidP="008C77E6">
      <w:pPr>
        <w:spacing w:line="276" w:lineRule="auto"/>
        <w:jc w:val="both"/>
        <w:rPr>
          <w:i/>
        </w:rPr>
      </w:pPr>
      <w:r w:rsidRPr="008C77E6">
        <w:rPr>
          <w:i/>
        </w:rPr>
        <w:t>A bekerülés feltételeiről és módjáról, valamint a fizetendő térítési díj összegéről az intézmény személyesen vagy telefonon hétfőtől-péntekig 7.00-tól 15.00 óráig részletes felvilágosítást nyújt az érdeklődőknek.</w:t>
      </w:r>
    </w:p>
    <w:p w14:paraId="6984839E" w14:textId="77777777" w:rsidR="008C77E6" w:rsidRPr="008C77E6" w:rsidRDefault="008C77E6" w:rsidP="008C77E6">
      <w:pPr>
        <w:spacing w:line="276" w:lineRule="auto"/>
      </w:pPr>
    </w:p>
    <w:p w14:paraId="73C912F5" w14:textId="77777777" w:rsidR="008C77E6" w:rsidRPr="00753050" w:rsidRDefault="008C77E6" w:rsidP="008C77E6">
      <w:pPr>
        <w:spacing w:line="276" w:lineRule="auto"/>
      </w:pPr>
    </w:p>
    <w:sectPr w:rsidR="008C77E6" w:rsidRPr="007530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F9BA" w14:textId="77777777" w:rsidR="00A81FD9" w:rsidRDefault="00A81FD9" w:rsidP="00753050">
      <w:r>
        <w:separator/>
      </w:r>
    </w:p>
  </w:endnote>
  <w:endnote w:type="continuationSeparator" w:id="0">
    <w:p w14:paraId="31000075" w14:textId="77777777" w:rsidR="00A81FD9" w:rsidRDefault="00A81FD9" w:rsidP="0075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0D14D" w14:textId="77777777" w:rsidR="00A81FD9" w:rsidRDefault="00A81FD9" w:rsidP="00753050">
      <w:r>
        <w:separator/>
      </w:r>
    </w:p>
  </w:footnote>
  <w:footnote w:type="continuationSeparator" w:id="0">
    <w:p w14:paraId="256E6FA3" w14:textId="77777777" w:rsidR="00A81FD9" w:rsidRDefault="00A81FD9" w:rsidP="00753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1473" w14:textId="0B3B0B23" w:rsidR="00753050" w:rsidRDefault="00753050">
    <w:pPr>
      <w:pStyle w:val="lfej"/>
    </w:pPr>
    <w:r w:rsidRPr="00753050">
      <w:rPr>
        <w:noProof/>
      </w:rPr>
      <w:drawing>
        <wp:inline distT="0" distB="0" distL="0" distR="0" wp14:anchorId="53E53FF5" wp14:editId="52C68075">
          <wp:extent cx="5760720" cy="124015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240155"/>
                  </a:xfrm>
                  <a:prstGeom prst="rect">
                    <a:avLst/>
                  </a:prstGeom>
                </pic:spPr>
              </pic:pic>
            </a:graphicData>
          </a:graphic>
        </wp:inline>
      </w:drawing>
    </w:r>
  </w:p>
  <w:p w14:paraId="1D1B6771" w14:textId="77777777" w:rsidR="00753050" w:rsidRDefault="0075305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B16E" w14:textId="49B0AC50" w:rsidR="008C77E6" w:rsidRDefault="008C77E6">
    <w:pPr>
      <w:pStyle w:val="lfej"/>
    </w:pPr>
  </w:p>
  <w:p w14:paraId="03EE9AF0" w14:textId="77777777" w:rsidR="008C77E6" w:rsidRDefault="008C77E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5pt;height:11.45pt" o:bullet="t">
        <v:imagedata r:id="rId1" o:title="mso81F1"/>
      </v:shape>
    </w:pict>
  </w:numPicBullet>
  <w:abstractNum w:abstractNumId="0" w15:restartNumberingAfterBreak="0">
    <w:nsid w:val="65C46AE7"/>
    <w:multiLevelType w:val="hybridMultilevel"/>
    <w:tmpl w:val="5E9284A0"/>
    <w:lvl w:ilvl="0" w:tplc="6CF46E5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AD2456E"/>
    <w:multiLevelType w:val="hybridMultilevel"/>
    <w:tmpl w:val="8196EB4A"/>
    <w:lvl w:ilvl="0" w:tplc="040E0007">
      <w:start w:val="1"/>
      <w:numFmt w:val="bullet"/>
      <w:lvlText w:val=""/>
      <w:lvlPicBulletId w:val="0"/>
      <w:lvlJc w:val="left"/>
      <w:pPr>
        <w:tabs>
          <w:tab w:val="num" w:pos="501"/>
        </w:tabs>
        <w:ind w:left="501"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1425416152">
    <w:abstractNumId w:val="1"/>
  </w:num>
  <w:num w:numId="2" w16cid:durableId="739639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50"/>
    <w:rsid w:val="000A2F6C"/>
    <w:rsid w:val="0032576C"/>
    <w:rsid w:val="00753050"/>
    <w:rsid w:val="008C77E6"/>
    <w:rsid w:val="00A81FD9"/>
    <w:rsid w:val="00AA36E1"/>
    <w:rsid w:val="00B3588E"/>
    <w:rsid w:val="00C315BA"/>
    <w:rsid w:val="00D272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FBD5"/>
  <w15:chartTrackingRefBased/>
  <w15:docId w15:val="{E153183B-F906-44D5-80F1-6DA12E8E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C77E6"/>
    <w:pPr>
      <w:spacing w:after="0" w:line="240" w:lineRule="auto"/>
    </w:pPr>
    <w:rPr>
      <w:rFonts w:ascii="Times New Roman" w:eastAsia="Times New Roman" w:hAnsi="Times New Roman" w:cs="Times New Roman"/>
      <w:kern w:val="0"/>
      <w:sz w:val="24"/>
      <w:szCs w:val="24"/>
      <w:lang w:eastAsia="hu-HU"/>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53050"/>
    <w:pPr>
      <w:tabs>
        <w:tab w:val="center" w:pos="4536"/>
        <w:tab w:val="right" w:pos="9072"/>
      </w:tabs>
    </w:pPr>
    <w:rPr>
      <w:rFonts w:asciiTheme="minorHAnsi" w:eastAsiaTheme="minorHAnsi" w:hAnsiTheme="minorHAnsi" w:cstheme="minorBidi"/>
      <w:kern w:val="2"/>
      <w:sz w:val="22"/>
      <w:szCs w:val="22"/>
      <w:lang w:eastAsia="en-US"/>
      <w14:ligatures w14:val="standardContextual"/>
    </w:rPr>
  </w:style>
  <w:style w:type="character" w:customStyle="1" w:styleId="lfejChar">
    <w:name w:val="Élőfej Char"/>
    <w:basedOn w:val="Bekezdsalapbettpusa"/>
    <w:link w:val="lfej"/>
    <w:uiPriority w:val="99"/>
    <w:rsid w:val="00753050"/>
  </w:style>
  <w:style w:type="paragraph" w:styleId="llb">
    <w:name w:val="footer"/>
    <w:basedOn w:val="Norml"/>
    <w:link w:val="llbChar"/>
    <w:uiPriority w:val="99"/>
    <w:unhideWhenUsed/>
    <w:rsid w:val="00753050"/>
    <w:pPr>
      <w:tabs>
        <w:tab w:val="center" w:pos="4536"/>
        <w:tab w:val="right" w:pos="9072"/>
      </w:tabs>
    </w:pPr>
    <w:rPr>
      <w:rFonts w:asciiTheme="minorHAnsi" w:eastAsiaTheme="minorHAnsi" w:hAnsiTheme="minorHAnsi" w:cstheme="minorBidi"/>
      <w:kern w:val="2"/>
      <w:sz w:val="22"/>
      <w:szCs w:val="22"/>
      <w:lang w:eastAsia="en-US"/>
      <w14:ligatures w14:val="standardContextual"/>
    </w:rPr>
  </w:style>
  <w:style w:type="character" w:customStyle="1" w:styleId="llbChar">
    <w:name w:val="Élőláb Char"/>
    <w:basedOn w:val="Bekezdsalapbettpusa"/>
    <w:link w:val="llb"/>
    <w:uiPriority w:val="99"/>
    <w:rsid w:val="00753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3750</Characters>
  <Application>Microsoft Office Word</Application>
  <DocSecurity>0</DocSecurity>
  <Lines>31</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Szabone Zsuponyo Agnes Orsolya | IRK-24</dc:creator>
  <cp:keywords/>
  <dc:description/>
  <cp:lastModifiedBy>user</cp:lastModifiedBy>
  <cp:revision>2</cp:revision>
  <dcterms:created xsi:type="dcterms:W3CDTF">2023-04-04T07:30:00Z</dcterms:created>
  <dcterms:modified xsi:type="dcterms:W3CDTF">2023-04-04T07:30:00Z</dcterms:modified>
</cp:coreProperties>
</file>